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19" w:rsidRPr="0099034D" w:rsidRDefault="00A50619" w:rsidP="0099034D">
      <w:pPr>
        <w:ind w:left="-900"/>
        <w:jc w:val="center"/>
        <w:rPr>
          <w:rFonts w:ascii="Arial" w:hAnsi="Arial" w:cs="Arial"/>
          <w:sz w:val="20"/>
          <w:szCs w:val="20"/>
        </w:rPr>
      </w:pPr>
      <w:r w:rsidRPr="000A77CF">
        <w:rPr>
          <w:b/>
          <w:i/>
          <w:sz w:val="32"/>
          <w:szCs w:val="32"/>
        </w:rPr>
        <w:t>Tarif des honoraires au 1</w:t>
      </w:r>
      <w:r w:rsidRPr="000A77CF">
        <w:rPr>
          <w:b/>
          <w:i/>
          <w:sz w:val="32"/>
          <w:szCs w:val="32"/>
          <w:vertAlign w:val="superscript"/>
        </w:rPr>
        <w:t>er</w:t>
      </w:r>
      <w:r w:rsidR="00EE15C2">
        <w:rPr>
          <w:b/>
          <w:i/>
          <w:sz w:val="32"/>
          <w:szCs w:val="32"/>
        </w:rPr>
        <w:t xml:space="preserve"> janvier 202</w:t>
      </w:r>
      <w:r w:rsidR="00521B96">
        <w:rPr>
          <w:b/>
          <w:i/>
          <w:sz w:val="32"/>
          <w:szCs w:val="32"/>
        </w:rPr>
        <w:t>3</w:t>
      </w:r>
      <w:r w:rsidRPr="000A77CF">
        <w:rPr>
          <w:b/>
          <w:i/>
          <w:sz w:val="32"/>
          <w:szCs w:val="32"/>
        </w:rPr>
        <w:t xml:space="preserve"> – Gestion privative</w:t>
      </w:r>
    </w:p>
    <w:p w:rsidR="00A50619" w:rsidRDefault="00A50619" w:rsidP="0079470C">
      <w:pPr>
        <w:jc w:val="center"/>
        <w:rPr>
          <w:i/>
          <w:sz w:val="20"/>
          <w:szCs w:val="18"/>
        </w:rPr>
      </w:pPr>
      <w:r w:rsidRPr="008E4170">
        <w:rPr>
          <w:i/>
          <w:sz w:val="20"/>
          <w:szCs w:val="18"/>
        </w:rPr>
        <w:t>Honoraires à la charge du propriétaire bailleur exprimé</w:t>
      </w:r>
      <w:r w:rsidR="008E4170" w:rsidRPr="008E4170">
        <w:rPr>
          <w:i/>
          <w:sz w:val="20"/>
          <w:szCs w:val="18"/>
        </w:rPr>
        <w:t>s</w:t>
      </w:r>
      <w:r w:rsidRPr="008E4170">
        <w:rPr>
          <w:i/>
          <w:sz w:val="20"/>
          <w:szCs w:val="18"/>
        </w:rPr>
        <w:t xml:space="preserve"> en fonction du taux actuel de TVA (20 %)</w:t>
      </w:r>
    </w:p>
    <w:p w:rsidR="00521B96" w:rsidRPr="008E4170" w:rsidRDefault="00521B96" w:rsidP="0079470C">
      <w:pPr>
        <w:jc w:val="center"/>
        <w:rPr>
          <w:i/>
          <w:sz w:val="20"/>
          <w:szCs w:val="18"/>
        </w:rPr>
      </w:pPr>
    </w:p>
    <w:p w:rsidR="0079470C" w:rsidRDefault="0079470C" w:rsidP="0079470C">
      <w:pPr>
        <w:jc w:val="center"/>
        <w:rPr>
          <w:i/>
          <w:sz w:val="18"/>
          <w:szCs w:val="18"/>
        </w:rPr>
      </w:pPr>
    </w:p>
    <w:p w:rsidR="00A50619" w:rsidRPr="0036634E" w:rsidRDefault="00EE15C2" w:rsidP="008C6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Mongolian Baiti" w:hAnsi="Mongolian Baiti" w:cs="Mongolian Baiti"/>
          <w:b/>
          <w:sz w:val="22"/>
          <w:szCs w:val="22"/>
        </w:rPr>
      </w:pPr>
      <w:r>
        <w:rPr>
          <w:rFonts w:ascii="Mongolian Baiti" w:hAnsi="Mongolian Baiti" w:cs="Mongolian Baiti"/>
          <w:b/>
          <w:sz w:val="22"/>
          <w:szCs w:val="22"/>
        </w:rPr>
        <w:t>Nous a</w:t>
      </w:r>
      <w:r w:rsidR="00A50619" w:rsidRPr="0036634E">
        <w:rPr>
          <w:rFonts w:ascii="Mongolian Baiti" w:hAnsi="Mongolian Baiti" w:cs="Mongolian Baiti"/>
          <w:b/>
          <w:sz w:val="22"/>
          <w:szCs w:val="22"/>
        </w:rPr>
        <w:t>ssur</w:t>
      </w:r>
      <w:r>
        <w:rPr>
          <w:rFonts w:ascii="Mongolian Baiti" w:hAnsi="Mongolian Baiti" w:cs="Mongolian Baiti"/>
          <w:b/>
          <w:sz w:val="22"/>
          <w:szCs w:val="22"/>
        </w:rPr>
        <w:t>ons</w:t>
      </w:r>
      <w:r w:rsidR="00A50619" w:rsidRPr="0036634E">
        <w:rPr>
          <w:rFonts w:ascii="Mongolian Baiti" w:hAnsi="Mongolian Baiti" w:cs="Mongolian Baiti"/>
          <w:b/>
          <w:sz w:val="22"/>
          <w:szCs w:val="22"/>
        </w:rPr>
        <w:t xml:space="preserve"> les démarches administratives, juridiques, techniques et financières pour le compte du bailleur.</w:t>
      </w:r>
      <w:r>
        <w:rPr>
          <w:rFonts w:ascii="Mongolian Baiti" w:hAnsi="Mongolian Baiti" w:cs="Mongolian Baiti"/>
          <w:b/>
          <w:sz w:val="22"/>
          <w:szCs w:val="22"/>
        </w:rPr>
        <w:t xml:space="preserve"> Nous</w:t>
      </w:r>
      <w:r w:rsidR="00622468" w:rsidRPr="0036634E">
        <w:rPr>
          <w:rFonts w:ascii="Mongolian Baiti" w:hAnsi="Mongolian Baiti" w:cs="Mongolian Baiti"/>
          <w:b/>
          <w:sz w:val="22"/>
          <w:szCs w:val="22"/>
        </w:rPr>
        <w:t xml:space="preserve"> </w:t>
      </w:r>
      <w:r w:rsidR="00A50619" w:rsidRPr="0036634E">
        <w:rPr>
          <w:rFonts w:ascii="Mongolian Baiti" w:hAnsi="Mongolian Baiti" w:cs="Mongolian Baiti"/>
          <w:b/>
          <w:sz w:val="22"/>
          <w:szCs w:val="22"/>
        </w:rPr>
        <w:t>appel</w:t>
      </w:r>
      <w:r>
        <w:rPr>
          <w:rFonts w:ascii="Mongolian Baiti" w:hAnsi="Mongolian Baiti" w:cs="Mongolian Baiti"/>
          <w:b/>
          <w:sz w:val="22"/>
          <w:szCs w:val="22"/>
        </w:rPr>
        <w:t>ons</w:t>
      </w:r>
      <w:r w:rsidR="00A50619" w:rsidRPr="0036634E">
        <w:rPr>
          <w:rFonts w:ascii="Mongolian Baiti" w:hAnsi="Mongolian Baiti" w:cs="Mongolian Baiti"/>
          <w:b/>
          <w:sz w:val="22"/>
          <w:szCs w:val="22"/>
        </w:rPr>
        <w:t xml:space="preserve"> les loyers et les charges, les recouvr</w:t>
      </w:r>
      <w:r>
        <w:rPr>
          <w:rFonts w:ascii="Mongolian Baiti" w:hAnsi="Mongolian Baiti" w:cs="Mongolian Baiti"/>
          <w:b/>
          <w:sz w:val="22"/>
          <w:szCs w:val="22"/>
        </w:rPr>
        <w:t>ons</w:t>
      </w:r>
      <w:r w:rsidR="00A50619" w:rsidRPr="0036634E">
        <w:rPr>
          <w:rFonts w:ascii="Mongolian Baiti" w:hAnsi="Mongolian Baiti" w:cs="Mongolian Baiti"/>
          <w:b/>
          <w:sz w:val="22"/>
          <w:szCs w:val="22"/>
        </w:rPr>
        <w:t>, établi</w:t>
      </w:r>
      <w:r>
        <w:rPr>
          <w:rFonts w:ascii="Mongolian Baiti" w:hAnsi="Mongolian Baiti" w:cs="Mongolian Baiti"/>
          <w:b/>
          <w:sz w:val="22"/>
          <w:szCs w:val="22"/>
        </w:rPr>
        <w:t>ssons</w:t>
      </w:r>
      <w:r w:rsidR="00A50619" w:rsidRPr="0036634E">
        <w:rPr>
          <w:rFonts w:ascii="Mongolian Baiti" w:hAnsi="Mongolian Baiti" w:cs="Mongolian Baiti"/>
          <w:b/>
          <w:sz w:val="22"/>
          <w:szCs w:val="22"/>
        </w:rPr>
        <w:t xml:space="preserve"> un compte rendu de gestion</w:t>
      </w:r>
      <w:r w:rsidR="00607C29" w:rsidRPr="0036634E">
        <w:rPr>
          <w:rFonts w:ascii="Mongolian Baiti" w:hAnsi="Mongolian Baiti" w:cs="Mongolian Baiti"/>
          <w:b/>
          <w:sz w:val="22"/>
          <w:szCs w:val="22"/>
        </w:rPr>
        <w:t xml:space="preserve"> et une reddition</w:t>
      </w:r>
      <w:r w:rsidR="00A50619" w:rsidRPr="0036634E">
        <w:rPr>
          <w:rFonts w:ascii="Mongolian Baiti" w:hAnsi="Mongolian Baiti" w:cs="Mongolian Baiti"/>
          <w:b/>
          <w:sz w:val="22"/>
          <w:szCs w:val="22"/>
        </w:rPr>
        <w:t xml:space="preserve"> </w:t>
      </w:r>
      <w:r w:rsidR="00521B96">
        <w:rPr>
          <w:rFonts w:ascii="Mongolian Baiti" w:hAnsi="Mongolian Baiti" w:cs="Mongolian Baiti"/>
          <w:b/>
          <w:sz w:val="22"/>
          <w:szCs w:val="22"/>
        </w:rPr>
        <w:t>mensu</w:t>
      </w:r>
      <w:r w:rsidR="00A50619" w:rsidRPr="0036634E">
        <w:rPr>
          <w:rFonts w:ascii="Mongolian Baiti" w:hAnsi="Mongolian Baiti" w:cs="Mongolian Baiti"/>
          <w:b/>
          <w:sz w:val="22"/>
          <w:szCs w:val="22"/>
        </w:rPr>
        <w:t>el</w:t>
      </w:r>
      <w:r w:rsidR="00607C29" w:rsidRPr="0036634E">
        <w:rPr>
          <w:rFonts w:ascii="Mongolian Baiti" w:hAnsi="Mongolian Baiti" w:cs="Mongolian Baiti"/>
          <w:b/>
          <w:sz w:val="22"/>
          <w:szCs w:val="22"/>
        </w:rPr>
        <w:t>le.</w:t>
      </w:r>
    </w:p>
    <w:p w:rsidR="00A50619" w:rsidRPr="00607C29" w:rsidRDefault="00A50619" w:rsidP="00A50619">
      <w:pPr>
        <w:ind w:right="-105"/>
        <w:jc w:val="both"/>
        <w:rPr>
          <w:b/>
          <w:color w:val="FFFFFF"/>
          <w:sz w:val="6"/>
          <w:szCs w:val="4"/>
        </w:rPr>
      </w:pPr>
    </w:p>
    <w:p w:rsidR="00521B96" w:rsidRDefault="00521B96" w:rsidP="00521B96">
      <w:pPr>
        <w:tabs>
          <w:tab w:val="left" w:pos="1980"/>
        </w:tabs>
        <w:ind w:right="-105"/>
        <w:jc w:val="both"/>
        <w:rPr>
          <w:b/>
          <w:color w:val="3366D2"/>
          <w:sz w:val="20"/>
          <w:szCs w:val="18"/>
        </w:rPr>
      </w:pPr>
    </w:p>
    <w:tbl>
      <w:tblPr>
        <w:tblW w:w="111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9072"/>
      </w:tblGrid>
      <w:tr w:rsidR="00521B96" w:rsidTr="00521B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96" w:rsidRDefault="00521B96">
            <w:pPr>
              <w:ind w:right="-105"/>
              <w:jc w:val="center"/>
              <w:rPr>
                <w:b/>
                <w:i/>
                <w:color w:val="FFFFFF"/>
                <w:sz w:val="20"/>
                <w:szCs w:val="20"/>
              </w:rPr>
            </w:pPr>
          </w:p>
          <w:p w:rsidR="00521B96" w:rsidRDefault="00521B96">
            <w:pPr>
              <w:ind w:right="-105"/>
              <w:jc w:val="center"/>
              <w:rPr>
                <w:b/>
                <w:i/>
                <w:color w:val="FFFFFF"/>
                <w:sz w:val="20"/>
                <w:szCs w:val="20"/>
              </w:rPr>
            </w:pPr>
          </w:p>
          <w:p w:rsidR="00521B96" w:rsidRDefault="00521B96">
            <w:pPr>
              <w:ind w:right="-105"/>
              <w:jc w:val="center"/>
              <w:rPr>
                <w:b/>
                <w:i/>
                <w:sz w:val="20"/>
                <w:szCs w:val="20"/>
              </w:rPr>
            </w:pPr>
          </w:p>
          <w:p w:rsidR="00521B96" w:rsidRDefault="00521B96">
            <w:pPr>
              <w:ind w:right="-10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HONORAIRES</w:t>
            </w:r>
          </w:p>
          <w:p w:rsidR="00521B96" w:rsidRDefault="00521B96">
            <w:pPr>
              <w:ind w:right="-10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DE </w:t>
            </w:r>
          </w:p>
          <w:p w:rsidR="00521B96" w:rsidRDefault="00521B96">
            <w:pPr>
              <w:ind w:right="-105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GESTION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6" w:rsidRDefault="00521B9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Honoraires de base baux d’habitation, civils, professionnels, commerciaux et ruraux :</w:t>
            </w:r>
          </w:p>
          <w:p w:rsidR="00521B96" w:rsidRDefault="00521B9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Encaissements * : </w:t>
            </w:r>
            <w:r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ab/>
              <w:t xml:space="preserve">                                      6% HT, soit 7.2 % TTC </w:t>
            </w:r>
          </w:p>
          <w:p w:rsidR="00521B96" w:rsidRDefault="00521B9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                                                                                        Minimum de 450 € TTC par lot géré **</w:t>
            </w:r>
          </w:p>
          <w:p w:rsidR="00521B96" w:rsidRDefault="00521B9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Frais administratifs par reddition : </w:t>
            </w:r>
            <w:r>
              <w:rPr>
                <w:sz w:val="20"/>
                <w:szCs w:val="18"/>
              </w:rPr>
              <w:tab/>
              <w:t xml:space="preserve">                                      6,00 € TTC</w:t>
            </w:r>
            <w:r>
              <w:rPr>
                <w:sz w:val="20"/>
                <w:szCs w:val="18"/>
              </w:rPr>
              <w:tab/>
            </w:r>
          </w:p>
          <w:p w:rsidR="00521B96" w:rsidRDefault="00521B9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Honoraires de base garages et parkings :                              10 % HT des encaissements.</w:t>
            </w:r>
          </w:p>
          <w:p w:rsidR="00521B96" w:rsidRDefault="00521B9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                                                                                        Minimum annuel 220 € TTC**</w:t>
            </w:r>
          </w:p>
          <w:p w:rsidR="00521B96" w:rsidRDefault="00521B9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Prestations particulières de gestion :</w:t>
            </w:r>
          </w:p>
          <w:p w:rsidR="00521B96" w:rsidRDefault="00521B96">
            <w:pPr>
              <w:tabs>
                <w:tab w:val="left" w:pos="4678"/>
              </w:tabs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Versement dépôt de garantie au bailleur :                             Majoration des honoraires de base de 0,5 % HT </w:t>
            </w:r>
          </w:p>
          <w:p w:rsidR="00521B96" w:rsidRDefault="00521B96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20"/>
                <w:szCs w:val="18"/>
              </w:rPr>
              <w:t>Gestion d’un immeuble individuel :                                      Majoration des honoraires de 1,5 % HT</w:t>
            </w:r>
          </w:p>
        </w:tc>
      </w:tr>
    </w:tbl>
    <w:p w:rsidR="00521B96" w:rsidRDefault="00521B96" w:rsidP="00521B96">
      <w:pPr>
        <w:ind w:right="-105"/>
        <w:rPr>
          <w:b/>
          <w:color w:val="333399"/>
          <w:sz w:val="20"/>
          <w:szCs w:val="18"/>
        </w:rPr>
      </w:pPr>
    </w:p>
    <w:tbl>
      <w:tblPr>
        <w:tblW w:w="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9072"/>
      </w:tblGrid>
      <w:tr w:rsidR="00521B96" w:rsidTr="00521B96">
        <w:trPr>
          <w:trHeight w:val="3787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B96" w:rsidRDefault="00521B96">
            <w:pPr>
              <w:ind w:right="-105"/>
              <w:jc w:val="center"/>
              <w:rPr>
                <w:b/>
                <w:i/>
                <w:color w:val="FFFFFF"/>
                <w:sz w:val="20"/>
                <w:szCs w:val="20"/>
              </w:rPr>
            </w:pPr>
          </w:p>
          <w:p w:rsidR="00521B96" w:rsidRDefault="00521B96">
            <w:pPr>
              <w:ind w:right="-105"/>
              <w:jc w:val="center"/>
              <w:rPr>
                <w:b/>
                <w:i/>
                <w:color w:val="FFFFFF"/>
                <w:sz w:val="20"/>
                <w:szCs w:val="20"/>
              </w:rPr>
            </w:pPr>
          </w:p>
          <w:p w:rsidR="00521B96" w:rsidRDefault="00521B96">
            <w:pPr>
              <w:ind w:right="-105"/>
              <w:jc w:val="center"/>
              <w:rPr>
                <w:b/>
                <w:i/>
                <w:sz w:val="20"/>
                <w:szCs w:val="20"/>
              </w:rPr>
            </w:pPr>
          </w:p>
          <w:p w:rsidR="00521B96" w:rsidRDefault="00521B96">
            <w:pPr>
              <w:ind w:right="-105"/>
              <w:jc w:val="center"/>
              <w:rPr>
                <w:b/>
                <w:i/>
                <w:sz w:val="20"/>
                <w:szCs w:val="20"/>
              </w:rPr>
            </w:pPr>
          </w:p>
          <w:p w:rsidR="00521B96" w:rsidRDefault="00521B96">
            <w:pPr>
              <w:ind w:right="-105" w:hanging="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PRESTATIONS</w:t>
            </w:r>
          </w:p>
          <w:p w:rsidR="00521B96" w:rsidRDefault="00521B96">
            <w:pPr>
              <w:ind w:right="-105" w:hanging="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SUPPLEMENTAIRES</w:t>
            </w:r>
          </w:p>
          <w:p w:rsidR="00521B96" w:rsidRDefault="00521B96">
            <w:pPr>
              <w:ind w:right="-105" w:hanging="108"/>
              <w:jc w:val="center"/>
              <w:rPr>
                <w:b/>
                <w:i/>
                <w:color w:val="FFFFFF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1B96" w:rsidRDefault="00521B96">
            <w:pPr>
              <w:tabs>
                <w:tab w:val="left" w:pos="459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Déclaration de travaux :</w:t>
            </w:r>
            <w:r>
              <w:rPr>
                <w:sz w:val="20"/>
                <w:szCs w:val="18"/>
              </w:rPr>
              <w:tab/>
              <w:t xml:space="preserve">   A la vacation (minimum 2)</w:t>
            </w:r>
          </w:p>
          <w:p w:rsidR="00521B96" w:rsidRDefault="00521B96">
            <w:pPr>
              <w:tabs>
                <w:tab w:val="left" w:pos="457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Déclaration de sinistre :</w:t>
            </w:r>
            <w:r>
              <w:rPr>
                <w:sz w:val="20"/>
                <w:szCs w:val="18"/>
              </w:rPr>
              <w:tab/>
              <w:t xml:space="preserve">    55 € TTC </w:t>
            </w:r>
            <w:r>
              <w:rPr>
                <w:sz w:val="20"/>
                <w:szCs w:val="18"/>
              </w:rPr>
              <w:br/>
              <w:t xml:space="preserve">Gestion de sinistre :      </w:t>
            </w:r>
            <w:r>
              <w:rPr>
                <w:sz w:val="20"/>
                <w:szCs w:val="18"/>
              </w:rPr>
              <w:tab/>
              <w:t xml:space="preserve">    à la vacation </w:t>
            </w:r>
          </w:p>
          <w:p w:rsidR="00521B96" w:rsidRDefault="00521B96">
            <w:pPr>
              <w:tabs>
                <w:tab w:val="left" w:pos="4536"/>
                <w:tab w:val="left" w:pos="468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Assistance aux expertises ou à la livraison : </w:t>
            </w:r>
            <w:r>
              <w:rPr>
                <w:sz w:val="20"/>
                <w:szCs w:val="18"/>
              </w:rPr>
              <w:tab/>
              <w:t xml:space="preserve">     à la vacation</w:t>
            </w:r>
          </w:p>
          <w:p w:rsidR="00521B96" w:rsidRDefault="00521B96">
            <w:pPr>
              <w:tabs>
                <w:tab w:val="left" w:pos="4581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Suivi des travaux courants :</w:t>
            </w:r>
            <w:r>
              <w:rPr>
                <w:sz w:val="20"/>
                <w:szCs w:val="18"/>
              </w:rPr>
              <w:tab/>
              <w:t xml:space="preserve">    inclus dans les honoraires de gestion</w:t>
            </w:r>
            <w:r>
              <w:rPr>
                <w:sz w:val="20"/>
                <w:szCs w:val="18"/>
              </w:rPr>
              <w:br/>
              <w:t xml:space="preserve">Travaux exceptionnels (&gt; 2000 €) : </w:t>
            </w:r>
            <w:r>
              <w:rPr>
                <w:sz w:val="20"/>
                <w:szCs w:val="18"/>
              </w:rPr>
              <w:tab/>
              <w:t xml:space="preserve">    4.00 % TTC sur le montant des travaux</w:t>
            </w:r>
          </w:p>
          <w:p w:rsidR="00521B96" w:rsidRDefault="00521B96">
            <w:pPr>
              <w:tabs>
                <w:tab w:val="left" w:pos="216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Diagnostics </w:t>
            </w:r>
            <w:r>
              <w:rPr>
                <w:sz w:val="18"/>
                <w:szCs w:val="18"/>
              </w:rPr>
              <w:t>(DPE – CREP – SURFACE – AMIANTE) </w:t>
            </w:r>
            <w:r>
              <w:rPr>
                <w:sz w:val="20"/>
                <w:szCs w:val="18"/>
              </w:rPr>
              <w:t>:</w:t>
            </w:r>
          </w:p>
          <w:p w:rsidR="00521B96" w:rsidRDefault="00521B96">
            <w:pPr>
              <w:tabs>
                <w:tab w:val="left" w:pos="4581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ab/>
              <w:t xml:space="preserve">    DPE seul :</w:t>
            </w:r>
            <w:r>
              <w:rPr>
                <w:sz w:val="20"/>
                <w:szCs w:val="18"/>
              </w:rPr>
              <w:tab/>
              <w:t>30 € TTC</w:t>
            </w:r>
          </w:p>
          <w:p w:rsidR="00521B96" w:rsidRDefault="00521B96">
            <w:pPr>
              <w:tabs>
                <w:tab w:val="left" w:pos="4581"/>
              </w:tabs>
              <w:ind w:left="458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DPE + électricité / gaz / autre : 35 € TTC</w:t>
            </w:r>
          </w:p>
          <w:p w:rsidR="00521B96" w:rsidRDefault="00521B96">
            <w:pPr>
              <w:tabs>
                <w:tab w:val="left" w:pos="4581"/>
              </w:tabs>
              <w:ind w:left="458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ERP : 50 € TTC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A.N.A.H : constitution du dossier administratif – 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Etablissement de devis - Suivi de travaux :                           à la vacation avec un minimum de 600 € TTC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Constitution d’un dossier de contentieux à l’encontre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d’un locataire :                                                                      40 € TTC à la charge du bailleur</w:t>
            </w:r>
            <w:r>
              <w:rPr>
                <w:sz w:val="20"/>
                <w:szCs w:val="18"/>
              </w:rPr>
              <w:br/>
              <w:t xml:space="preserve">Suivi du dossier contentieux : </w:t>
            </w:r>
            <w:r>
              <w:rPr>
                <w:sz w:val="20"/>
                <w:szCs w:val="18"/>
              </w:rPr>
              <w:tab/>
              <w:t xml:space="preserve">                                      à la vacation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Déclarations de revenus fonciers ou CRL : </w:t>
            </w:r>
            <w:r>
              <w:rPr>
                <w:sz w:val="20"/>
                <w:szCs w:val="18"/>
              </w:rPr>
              <w:tab/>
              <w:t xml:space="preserve">                        </w:t>
            </w:r>
            <w:r>
              <w:rPr>
                <w:sz w:val="20"/>
                <w:szCs w:val="18"/>
              </w:rPr>
              <w:t>40</w:t>
            </w:r>
            <w:r>
              <w:rPr>
                <w:sz w:val="20"/>
                <w:szCs w:val="18"/>
              </w:rPr>
              <w:t xml:space="preserve"> € TTC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Déclaration de TVA :                                                             45 € TTC 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Congé à délivrer au locataire :                                               160 € TTC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Représentation aux assemblées générales : </w:t>
            </w:r>
            <w:r>
              <w:rPr>
                <w:sz w:val="20"/>
                <w:szCs w:val="18"/>
              </w:rPr>
              <w:tab/>
              <w:t xml:space="preserve">                         à la vacation avec un minimum d’une vacation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Honoraires de fin de mandat et restitution de dossier :          200 € TTC, sauf vente du bien nos soins PARKER</w:t>
            </w:r>
          </w:p>
        </w:tc>
      </w:tr>
    </w:tbl>
    <w:p w:rsidR="00521B96" w:rsidRDefault="00521B96" w:rsidP="00521B96">
      <w:pPr>
        <w:ind w:right="-105"/>
        <w:rPr>
          <w:b/>
          <w:color w:val="333399"/>
          <w:sz w:val="20"/>
          <w:szCs w:val="18"/>
        </w:rPr>
      </w:pPr>
    </w:p>
    <w:tbl>
      <w:tblPr>
        <w:tblW w:w="111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043"/>
      </w:tblGrid>
      <w:tr w:rsidR="00521B96" w:rsidTr="00521B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96" w:rsidRDefault="00521B96">
            <w:pPr>
              <w:ind w:right="-10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HONORAIRES</w:t>
            </w:r>
          </w:p>
          <w:p w:rsidR="00521B96" w:rsidRDefault="00521B96">
            <w:pPr>
              <w:ind w:right="-10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</w:t>
            </w:r>
          </w:p>
          <w:p w:rsidR="00521B96" w:rsidRDefault="00521B96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LOCATION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Baux d’habitation :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Honoraires de location **** : </w:t>
            </w:r>
            <w:r>
              <w:rPr>
                <w:sz w:val="20"/>
                <w:szCs w:val="18"/>
              </w:rPr>
              <w:tab/>
              <w:t xml:space="preserve">                                        8 € TTC du m²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Frais d’état des lieux d’entrée :                                               3 € TTC du m²</w:t>
            </w:r>
          </w:p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Honoraires forfaitaires de commercialisation : </w:t>
            </w:r>
            <w:r>
              <w:rPr>
                <w:sz w:val="20"/>
                <w:szCs w:val="18"/>
              </w:rPr>
              <w:tab/>
              <w:t xml:space="preserve">            </w:t>
            </w:r>
            <w:r>
              <w:rPr>
                <w:sz w:val="20"/>
                <w:szCs w:val="18"/>
              </w:rPr>
              <w:t>65</w:t>
            </w:r>
            <w:bookmarkStart w:id="0" w:name="_GoBack"/>
            <w:bookmarkEnd w:id="0"/>
            <w:r>
              <w:rPr>
                <w:sz w:val="20"/>
                <w:szCs w:val="18"/>
              </w:rPr>
              <w:t xml:space="preserve"> € TTC ***** </w:t>
            </w:r>
          </w:p>
          <w:p w:rsidR="00521B96" w:rsidRDefault="00521B96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Refacturation de frais spécifiques de publicité à la demande du bailleur</w:t>
            </w:r>
          </w:p>
        </w:tc>
      </w:tr>
    </w:tbl>
    <w:p w:rsidR="00521B96" w:rsidRDefault="00521B96" w:rsidP="00521B96">
      <w:pPr>
        <w:ind w:right="-105"/>
        <w:jc w:val="center"/>
        <w:rPr>
          <w:sz w:val="20"/>
          <w:szCs w:val="18"/>
        </w:rPr>
      </w:pPr>
    </w:p>
    <w:tbl>
      <w:tblPr>
        <w:tblW w:w="11175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7"/>
        <w:gridCol w:w="9048"/>
      </w:tblGrid>
      <w:tr w:rsidR="00521B96" w:rsidTr="00521B96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1B96" w:rsidRDefault="00521B96">
            <w:pPr>
              <w:ind w:right="-10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FRAIS</w:t>
            </w:r>
          </w:p>
          <w:p w:rsidR="00521B96" w:rsidRDefault="00521B96">
            <w:pPr>
              <w:ind w:right="-10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RECUPERABLES</w:t>
            </w:r>
          </w:p>
        </w:tc>
        <w:tc>
          <w:tcPr>
            <w:tcW w:w="9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Frais de timbre postaux : </w:t>
            </w:r>
            <w:r>
              <w:rPr>
                <w:sz w:val="20"/>
                <w:szCs w:val="18"/>
              </w:rPr>
              <w:tab/>
              <w:t xml:space="preserve">                                                       tarif poste</w:t>
            </w:r>
          </w:p>
          <w:p w:rsidR="00521B96" w:rsidRDefault="00521B96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Photocopie : </w:t>
            </w:r>
            <w:r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ab/>
              <w:t xml:space="preserve">                                                       0,50 € la feuille</w:t>
            </w:r>
          </w:p>
        </w:tc>
      </w:tr>
      <w:tr w:rsidR="00521B96" w:rsidTr="00521B96"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21B96" w:rsidRDefault="00521B96">
            <w:pPr>
              <w:ind w:right="-105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4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21B96" w:rsidRDefault="00521B96">
            <w:pPr>
              <w:rPr>
                <w:sz w:val="18"/>
                <w:szCs w:val="18"/>
              </w:rPr>
            </w:pPr>
          </w:p>
        </w:tc>
      </w:tr>
      <w:tr w:rsidR="00521B96" w:rsidTr="00521B96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1B96" w:rsidRDefault="00521B96">
            <w:pPr>
              <w:ind w:right="-105"/>
              <w:jc w:val="center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VACATION HONORAIRES</w:t>
            </w:r>
          </w:p>
        </w:tc>
        <w:tc>
          <w:tcPr>
            <w:tcW w:w="9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1B96" w:rsidRDefault="00521B9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Heures ouvrables :                                                                    105.00 € TTC</w:t>
            </w:r>
          </w:p>
          <w:p w:rsidR="00521B96" w:rsidRDefault="00521B96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Hors heures ouvrables :                                                            145.00 € TTC</w:t>
            </w:r>
          </w:p>
        </w:tc>
      </w:tr>
    </w:tbl>
    <w:p w:rsidR="00521B96" w:rsidRDefault="00521B96" w:rsidP="00521B96">
      <w:pPr>
        <w:tabs>
          <w:tab w:val="left" w:pos="1980"/>
        </w:tabs>
        <w:ind w:right="-105"/>
        <w:jc w:val="both"/>
        <w:rPr>
          <w:rFonts w:ascii="Arial" w:hAnsi="Arial" w:cs="Arial"/>
          <w:sz w:val="22"/>
          <w:szCs w:val="20"/>
        </w:rPr>
      </w:pPr>
    </w:p>
    <w:p w:rsidR="00481D7E" w:rsidRPr="00607C29" w:rsidRDefault="00481D7E" w:rsidP="00521B96">
      <w:pPr>
        <w:tabs>
          <w:tab w:val="left" w:pos="1980"/>
        </w:tabs>
        <w:ind w:right="-105"/>
        <w:jc w:val="both"/>
        <w:rPr>
          <w:rFonts w:ascii="Arial" w:hAnsi="Arial" w:cs="Arial"/>
          <w:sz w:val="22"/>
          <w:szCs w:val="20"/>
        </w:rPr>
      </w:pPr>
    </w:p>
    <w:sectPr w:rsidR="00481D7E" w:rsidRPr="00607C29" w:rsidSect="005E7D63">
      <w:headerReference w:type="default" r:id="rId7"/>
      <w:footerReference w:type="default" r:id="rId8"/>
      <w:pgSz w:w="11906" w:h="16838"/>
      <w:pgMar w:top="794" w:right="720" w:bottom="794" w:left="510" w:header="136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E7" w:rsidRDefault="008219E7" w:rsidP="00421208">
      <w:r>
        <w:separator/>
      </w:r>
    </w:p>
  </w:endnote>
  <w:endnote w:type="continuationSeparator" w:id="0">
    <w:p w:rsidR="008219E7" w:rsidRDefault="008219E7" w:rsidP="0042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08" w:rsidRPr="008E4170" w:rsidRDefault="00421208" w:rsidP="00421208">
    <w:pPr>
      <w:ind w:right="-105"/>
      <w:jc w:val="center"/>
      <w:rPr>
        <w:i/>
        <w:sz w:val="18"/>
        <w:szCs w:val="12"/>
      </w:rPr>
    </w:pPr>
    <w:r w:rsidRPr="008E4170">
      <w:rPr>
        <w:i/>
        <w:sz w:val="18"/>
        <w:szCs w:val="12"/>
      </w:rPr>
      <w:t>*loyer, accessoires du loyer, charges, prestations, taxes locatives, fournitures individuelles,…) ; ** pour tout mandat conclu à partir du 1</w:t>
    </w:r>
    <w:r w:rsidRPr="008E4170">
      <w:rPr>
        <w:i/>
        <w:sz w:val="18"/>
        <w:szCs w:val="12"/>
        <w:vertAlign w:val="superscript"/>
      </w:rPr>
      <w:t>er</w:t>
    </w:r>
    <w:r w:rsidRPr="008E4170">
      <w:rPr>
        <w:i/>
        <w:sz w:val="18"/>
        <w:szCs w:val="12"/>
      </w:rPr>
      <w:t xml:space="preserve"> janvier 2015 ;  ***avec un minimum d’une vacation ; ****incluant les frais de visite, constitution de dossier, rédaction de bail ;  *****Ces honoraires forfaitaires concernent nos frais de tenue de vitrine commerciale, l’établissement de listes de locations, nos insertions sur nos sites internet.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E7" w:rsidRDefault="008219E7" w:rsidP="00421208">
      <w:r>
        <w:separator/>
      </w:r>
    </w:p>
  </w:footnote>
  <w:footnote w:type="continuationSeparator" w:id="0">
    <w:p w:rsidR="008219E7" w:rsidRDefault="008219E7" w:rsidP="00421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08" w:rsidRDefault="00577231" w:rsidP="00421208">
    <w:pPr>
      <w:pStyle w:val="En-tte"/>
      <w:jc w:val="center"/>
    </w:pPr>
    <w:r w:rsidRPr="00577231">
      <w:rPr>
        <w:noProof/>
      </w:rPr>
      <w:drawing>
        <wp:inline distT="0" distB="0" distL="0" distR="0">
          <wp:extent cx="2487295" cy="1984155"/>
          <wp:effectExtent l="0" t="0" r="0" b="0"/>
          <wp:docPr id="2" name="Image 2" descr="C:\Users\varzel\Documents\Immo de France\Gilbert Pierre Immobilier\charte graphique Gilbert Pierre\LOGOS GILBERT PIERRE IMMO\Bureautique\Verticale\POSITIF\Logo Gilbert Pierre se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rzel\Documents\Immo de France\Gilbert Pierre Immobilier\charte graphique Gilbert Pierre\LOGOS GILBERT PIERRE IMMO\Bureautique\Verticale\POSITIF\Logo Gilbert Pierre se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121" cy="1994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B66"/>
    <w:multiLevelType w:val="hybridMultilevel"/>
    <w:tmpl w:val="399EB8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584"/>
    <w:multiLevelType w:val="hybridMultilevel"/>
    <w:tmpl w:val="39583C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20FF"/>
    <w:multiLevelType w:val="hybridMultilevel"/>
    <w:tmpl w:val="B2F2A5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5AE5"/>
    <w:multiLevelType w:val="hybridMultilevel"/>
    <w:tmpl w:val="9FD062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6"/>
    <w:rsid w:val="00066BA8"/>
    <w:rsid w:val="0008206F"/>
    <w:rsid w:val="00082A6A"/>
    <w:rsid w:val="00093343"/>
    <w:rsid w:val="000A77CF"/>
    <w:rsid w:val="000D0877"/>
    <w:rsid w:val="000D166E"/>
    <w:rsid w:val="001D3619"/>
    <w:rsid w:val="00206939"/>
    <w:rsid w:val="002240AE"/>
    <w:rsid w:val="00235756"/>
    <w:rsid w:val="00262458"/>
    <w:rsid w:val="00285A58"/>
    <w:rsid w:val="00330739"/>
    <w:rsid w:val="003549AB"/>
    <w:rsid w:val="003551E1"/>
    <w:rsid w:val="003638A8"/>
    <w:rsid w:val="0036634E"/>
    <w:rsid w:val="003D0CA2"/>
    <w:rsid w:val="003F3C50"/>
    <w:rsid w:val="00406D05"/>
    <w:rsid w:val="0041044E"/>
    <w:rsid w:val="00420E5E"/>
    <w:rsid w:val="00421208"/>
    <w:rsid w:val="00462DC3"/>
    <w:rsid w:val="00463438"/>
    <w:rsid w:val="00481D7E"/>
    <w:rsid w:val="004E7D0A"/>
    <w:rsid w:val="00521B96"/>
    <w:rsid w:val="00531184"/>
    <w:rsid w:val="005653B9"/>
    <w:rsid w:val="00577231"/>
    <w:rsid w:val="005C3000"/>
    <w:rsid w:val="005E7D63"/>
    <w:rsid w:val="005F4313"/>
    <w:rsid w:val="00607C29"/>
    <w:rsid w:val="00622468"/>
    <w:rsid w:val="0067658B"/>
    <w:rsid w:val="006C70D7"/>
    <w:rsid w:val="006E5877"/>
    <w:rsid w:val="00725213"/>
    <w:rsid w:val="00742D6A"/>
    <w:rsid w:val="00750B14"/>
    <w:rsid w:val="007938C7"/>
    <w:rsid w:val="0079470C"/>
    <w:rsid w:val="007C5711"/>
    <w:rsid w:val="007E0466"/>
    <w:rsid w:val="00805503"/>
    <w:rsid w:val="008219E7"/>
    <w:rsid w:val="0087610E"/>
    <w:rsid w:val="008C6441"/>
    <w:rsid w:val="008D3291"/>
    <w:rsid w:val="008E30D9"/>
    <w:rsid w:val="008E3D92"/>
    <w:rsid w:val="008E4170"/>
    <w:rsid w:val="00934E8D"/>
    <w:rsid w:val="00965FF7"/>
    <w:rsid w:val="0099034D"/>
    <w:rsid w:val="00996FFA"/>
    <w:rsid w:val="009B1FDA"/>
    <w:rsid w:val="009C3656"/>
    <w:rsid w:val="009C3F6F"/>
    <w:rsid w:val="00A317CD"/>
    <w:rsid w:val="00A50619"/>
    <w:rsid w:val="00A52C70"/>
    <w:rsid w:val="00A5346A"/>
    <w:rsid w:val="00A56FA2"/>
    <w:rsid w:val="00BD7AA6"/>
    <w:rsid w:val="00BE57F0"/>
    <w:rsid w:val="00C1521A"/>
    <w:rsid w:val="00CB7CBA"/>
    <w:rsid w:val="00CC1832"/>
    <w:rsid w:val="00D40440"/>
    <w:rsid w:val="00E201B4"/>
    <w:rsid w:val="00E24016"/>
    <w:rsid w:val="00E43E76"/>
    <w:rsid w:val="00E64FD5"/>
    <w:rsid w:val="00E76F07"/>
    <w:rsid w:val="00E775EF"/>
    <w:rsid w:val="00EE15C2"/>
    <w:rsid w:val="00F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2C9192-9828-4CC5-9936-CB3B4F98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  <w:i/>
      <w:iCs/>
      <w:u w:val="single"/>
    </w:rPr>
  </w:style>
  <w:style w:type="paragraph" w:styleId="Paragraphedeliste">
    <w:name w:val="List Paragraph"/>
    <w:basedOn w:val="Normal"/>
    <w:uiPriority w:val="34"/>
    <w:qFormat/>
    <w:rsid w:val="001D3619"/>
    <w:pPr>
      <w:ind w:left="708"/>
    </w:pPr>
  </w:style>
  <w:style w:type="paragraph" w:styleId="En-tte">
    <w:name w:val="header"/>
    <w:basedOn w:val="Normal"/>
    <w:link w:val="En-tteCar"/>
    <w:rsid w:val="0042120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21208"/>
    <w:rPr>
      <w:sz w:val="24"/>
      <w:szCs w:val="24"/>
    </w:rPr>
  </w:style>
  <w:style w:type="paragraph" w:styleId="Pieddepage">
    <w:name w:val="footer"/>
    <w:basedOn w:val="Normal"/>
    <w:link w:val="PieddepageCar"/>
    <w:rsid w:val="004212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21208"/>
    <w:rPr>
      <w:sz w:val="24"/>
      <w:szCs w:val="24"/>
    </w:rPr>
  </w:style>
  <w:style w:type="paragraph" w:styleId="Textedebulles">
    <w:name w:val="Balloon Text"/>
    <w:basedOn w:val="Normal"/>
    <w:link w:val="TextedebullesCar"/>
    <w:rsid w:val="004104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1044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0A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0A77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Vincent VA. ARZEL</cp:lastModifiedBy>
  <cp:revision>2</cp:revision>
  <cp:lastPrinted>2023-01-11T09:47:00Z</cp:lastPrinted>
  <dcterms:created xsi:type="dcterms:W3CDTF">2023-01-11T09:53:00Z</dcterms:created>
  <dcterms:modified xsi:type="dcterms:W3CDTF">2023-01-11T09:53:00Z</dcterms:modified>
</cp:coreProperties>
</file>